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AF52" w14:textId="472D7FEB" w:rsidR="00850C96" w:rsidRPr="00850C96" w:rsidRDefault="00850C96" w:rsidP="00DA281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850C96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EXEC SUMMARY OF – RBZ CYBER RESILLIENCE GUIDELINES – WHAT IT MEANS FOR BOARDS AND IT OPERATIONS IN FINANCIAL SERVICES </w:t>
      </w:r>
    </w:p>
    <w:p w14:paraId="0F17D0ED" w14:textId="174B21A0" w:rsidR="00DA2815" w:rsidRPr="00DA2815" w:rsidRDefault="00DA2815" w:rsidP="00DA281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50C96">
        <w:rPr>
          <w:rFonts w:eastAsia="Times New Roman" w:cs="Times New Roman"/>
          <w:color w:val="000000"/>
          <w:kern w:val="0"/>
          <w:lang w:eastAsia="en-GB"/>
          <w14:ligatures w14:val="none"/>
        </w:rPr>
        <w:t>S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ummary of what regulators expect from banks on digital technology, cyber, and operations—split by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Board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vs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Management/Operations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, plus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third-party/cloud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,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reporting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, and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emerging tech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1FB6C2B5" w14:textId="77777777" w:rsidR="00DA2815" w:rsidRPr="00DA2815" w:rsidRDefault="00DA2815" w:rsidP="00DA281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A281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1) What the Board must ensure</w:t>
      </w:r>
    </w:p>
    <w:p w14:paraId="6B6D910C" w14:textId="190B9631" w:rsidR="00DA2815" w:rsidRPr="00850C96" w:rsidRDefault="00DA2815" w:rsidP="00DA2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Ultimate accountability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for cyber resilience: set governance, approve strategy/framework, and monitor implementation. Appoint a capable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CISO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and define the bank’s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cyber risk appetite/tolerance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.  </w:t>
      </w:r>
    </w:p>
    <w:p w14:paraId="0B188F0D" w14:textId="0AF4C671" w:rsidR="00DA2815" w:rsidRPr="00DA2815" w:rsidRDefault="00DA2815" w:rsidP="00DA2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Provide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oversight &amp; guidance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, ensure risks are identified/mitigated within risk appetite, and uphold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legal/regulatory compliance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. </w:t>
      </w:r>
    </w:p>
    <w:p w14:paraId="245651AB" w14:textId="77777777" w:rsidR="00DA2815" w:rsidRPr="00DA2815" w:rsidRDefault="00DA2815" w:rsidP="00DA2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Drive a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security culture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, require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board/management training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, and mandate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table-top exercises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for incident response/disclosure. </w:t>
      </w:r>
    </w:p>
    <w:p w14:paraId="5B056775" w14:textId="77777777" w:rsidR="00DA2815" w:rsidRPr="00DA2815" w:rsidRDefault="00DA2815" w:rsidP="00DA2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Require an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independent annual cyber-resilience review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. </w:t>
      </w:r>
    </w:p>
    <w:p w14:paraId="46402BE6" w14:textId="77777777" w:rsidR="00DA2815" w:rsidRPr="00DA2815" w:rsidRDefault="00DA2815" w:rsidP="00DA281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A281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2) What Senior Management &amp; Operations must do</w:t>
      </w:r>
    </w:p>
    <w:p w14:paraId="65F8439B" w14:textId="5542A7C6" w:rsidR="00DA2815" w:rsidRPr="00DA2815" w:rsidRDefault="00DA2815" w:rsidP="00DA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Translate strategy into action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: set policies, allocate budget/people, run an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independent information security function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with authority and access to the Board.  </w:t>
      </w:r>
    </w:p>
    <w:p w14:paraId="24E28C1C" w14:textId="21AC69E7" w:rsidR="00DA2815" w:rsidRPr="00DA2815" w:rsidRDefault="00DA2815" w:rsidP="00DA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Maintain and enforce policies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(access control, data protection, incident response) with at least annual review; clearly define lines of defense.  </w:t>
      </w:r>
    </w:p>
    <w:p w14:paraId="1F5D19A4" w14:textId="77777777" w:rsidR="00DA2815" w:rsidRPr="00DA2815" w:rsidRDefault="00DA2815" w:rsidP="00DA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Risk management cycle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: identify critical functions/assets and dependencies; keep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asset &amp; identity inventories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current; update risk assessments with new threats/changes. </w:t>
      </w:r>
    </w:p>
    <w:p w14:paraId="1D98A7F0" w14:textId="5FB23DCA" w:rsidR="00DA2815" w:rsidRPr="00DA2815" w:rsidRDefault="00DA2815" w:rsidP="00DA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Protection controls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(defence-in-depth): ISMS aligned to standards (e.g., ISO/NIST), secure SDLC, encryption (at rest/in transit), IAM/MFA, least-privilege, network zoning/IDS/IPS/VPN/DMZ, hardening, baseline configs, and patch/change management with testing and rollback. </w:t>
      </w:r>
    </w:p>
    <w:p w14:paraId="046F6BB2" w14:textId="77777777" w:rsidR="00DA2815" w:rsidRPr="00DA2815" w:rsidRDefault="00DA2815" w:rsidP="00DA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Detection &amp; situational awareness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: SIEM/log correlation, baselines and anomaly detection, multi-layer monitoring,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threat intelligence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subscription/analysis feeding SOC and training. </w:t>
      </w:r>
    </w:p>
    <w:p w14:paraId="4408D389" w14:textId="77777777" w:rsidR="00DA2815" w:rsidRPr="00DA2815" w:rsidRDefault="00DA2815" w:rsidP="00DA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Response &amp; recovery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: tested plans tied to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BCP/DR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, defined RTO/RPO, internal severity tiers, stakeholder notification criteria, lessons-learned fed back into controls. </w:t>
      </w:r>
    </w:p>
    <w:p w14:paraId="4453F1E2" w14:textId="77777777" w:rsidR="00DA2815" w:rsidRPr="00DA2815" w:rsidRDefault="00DA2815" w:rsidP="00DA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Testing &amp; assurance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: vulnerability scanning,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annual penetration tests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for critical/internet-facing systems,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threat-led testing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(e.g., red team) where risk warrants; independent testers; log, prioritise and remediate findings with Board oversight. </w:t>
      </w:r>
    </w:p>
    <w:p w14:paraId="6992EC74" w14:textId="77777777" w:rsidR="00DA2815" w:rsidRPr="00DA2815" w:rsidRDefault="00DA2815" w:rsidP="00DA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Audit &amp; improvement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: internal cyber audits at least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twice yearly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;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annual external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assessment; continuous improvement from findings and trends. </w:t>
      </w:r>
    </w:p>
    <w:p w14:paraId="643C21A9" w14:textId="77777777" w:rsidR="00DA2815" w:rsidRPr="00DA2815" w:rsidRDefault="00DA2815" w:rsidP="00DA281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A281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3) Third-party &amp; cloud expectations</w:t>
      </w:r>
    </w:p>
    <w:p w14:paraId="71E43B8A" w14:textId="77777777" w:rsidR="00DA2815" w:rsidRPr="00DA2815" w:rsidRDefault="00DA2815" w:rsidP="00DA2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lastRenderedPageBreak/>
        <w:t>Apply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full lifecycle TPRM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: due diligence, continuous monitoring, least-privilege access, substitutability planning, and include third parties in response/recovery testing. Contracts must cover roles, security controls/secure SDLC,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audit rights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, data protection/segregation/portability, BCP/IR/exit. </w:t>
      </w:r>
    </w:p>
    <w:p w14:paraId="24F5CE25" w14:textId="77777777" w:rsidR="00DA2815" w:rsidRPr="00DA2815" w:rsidRDefault="00DA2815" w:rsidP="00DA2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Treat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intra-group shared services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like external vendors (due diligence, monitoring, comms protocols, group audits). </w:t>
      </w:r>
    </w:p>
    <w:p w14:paraId="4393C2B7" w14:textId="77777777" w:rsidR="00DA2815" w:rsidRPr="00DA2815" w:rsidRDefault="00DA2815" w:rsidP="00DA2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Notify the regulator early on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cloud outsourcing of critical functions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and address jurisdiction, data segregation, and compliance in agreements. </w:t>
      </w:r>
    </w:p>
    <w:p w14:paraId="57758EC9" w14:textId="77777777" w:rsidR="00DA2815" w:rsidRPr="00DA2815" w:rsidRDefault="00DA2815" w:rsidP="00DA281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A281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4) Reporting, communication, and culture</w:t>
      </w:r>
    </w:p>
    <w:p w14:paraId="5824CC4D" w14:textId="77777777" w:rsidR="00850C96" w:rsidRPr="00850C96" w:rsidRDefault="00DA2815" w:rsidP="00850C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Maintain trusted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information-sharing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channels; have internal/external/incident comms defined in advance and keep contact trees current. </w:t>
      </w:r>
    </w:p>
    <w:p w14:paraId="2E6CFF64" w14:textId="4771144E" w:rsidR="00DA2815" w:rsidRPr="00DA2815" w:rsidRDefault="00DA2815" w:rsidP="00850C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Mandatory timelines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: annual self-assessment as at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31 Dec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submitted by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15 Feb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; report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confirmed cyber incidents within 3 hours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of detection; quarterly incident summaries to the RBZ. </w:t>
      </w:r>
    </w:p>
    <w:p w14:paraId="1BF2364C" w14:textId="77777777" w:rsidR="00DA2815" w:rsidRPr="00DA2815" w:rsidRDefault="00DA2815" w:rsidP="00DA28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Build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capacity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: annual, role-based cyber awareness for all personnel; specialised training for IT/security; regular review to reflect evolving threats. (See Capacity Building section.) </w:t>
      </w:r>
    </w:p>
    <w:p w14:paraId="15950407" w14:textId="77777777" w:rsidR="00DA2815" w:rsidRPr="00DA2815" w:rsidRDefault="00DA2815" w:rsidP="00DA281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A281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5) Emerging technologies (AI, APIs/Open Banking, Cloud, Mobile/Contactless, DLT, IoT, USSD, Voice)</w:t>
      </w:r>
    </w:p>
    <w:p w14:paraId="10C82EA1" w14:textId="77777777" w:rsidR="00DA2815" w:rsidRPr="00DA2815" w:rsidRDefault="00DA2815" w:rsidP="00DA28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Do a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pre-deployment business case &amp; cyber risk assessment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; enforce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identity &amp; access controls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, encryption, secure API practices, layered architecture, cloud benchmarks; continuous monitoring and incident playbooks tailored to the tech. </w:t>
      </w:r>
      <w:r w:rsidRPr="00DA281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Regulatory approval is required</w:t>
      </w:r>
      <w:r w:rsidRPr="00DA2815">
        <w:rPr>
          <w:rFonts w:eastAsia="Times New Roman" w:cs="Times New Roman"/>
          <w:color w:val="000000"/>
          <w:kern w:val="0"/>
          <w:lang w:eastAsia="en-GB"/>
          <w14:ligatures w14:val="none"/>
        </w:rPr>
        <w:t> before launching new digital services or major ICT changes. </w:t>
      </w:r>
    </w:p>
    <w:p w14:paraId="5E67219D" w14:textId="77777777" w:rsidR="00DA2815" w:rsidRPr="00DA2815" w:rsidRDefault="006A4B22" w:rsidP="00DA28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4B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8D7C0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94EE83" w14:textId="77777777" w:rsidR="00DA2815" w:rsidRDefault="00DA2815"/>
    <w:sectPr w:rsidR="00DA2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F36C9"/>
    <w:multiLevelType w:val="multilevel"/>
    <w:tmpl w:val="EA9A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E6394"/>
    <w:multiLevelType w:val="multilevel"/>
    <w:tmpl w:val="FF46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E0A36"/>
    <w:multiLevelType w:val="multilevel"/>
    <w:tmpl w:val="C6F6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F1BD3"/>
    <w:multiLevelType w:val="multilevel"/>
    <w:tmpl w:val="69F4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40653"/>
    <w:multiLevelType w:val="multilevel"/>
    <w:tmpl w:val="7C02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886290">
    <w:abstractNumId w:val="1"/>
  </w:num>
  <w:num w:numId="2" w16cid:durableId="638917739">
    <w:abstractNumId w:val="4"/>
  </w:num>
  <w:num w:numId="3" w16cid:durableId="1539512633">
    <w:abstractNumId w:val="3"/>
  </w:num>
  <w:num w:numId="4" w16cid:durableId="1272931189">
    <w:abstractNumId w:val="0"/>
  </w:num>
  <w:num w:numId="5" w16cid:durableId="1891645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15"/>
    <w:rsid w:val="00643CA9"/>
    <w:rsid w:val="006A4B22"/>
    <w:rsid w:val="00850C96"/>
    <w:rsid w:val="00A20B38"/>
    <w:rsid w:val="00B876A2"/>
    <w:rsid w:val="00D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E27F"/>
  <w15:chartTrackingRefBased/>
  <w15:docId w15:val="{0C9D3C30-C63D-D042-858A-44A7107D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2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8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A2815"/>
  </w:style>
  <w:style w:type="character" w:styleId="Strong">
    <w:name w:val="Strong"/>
    <w:basedOn w:val="DefaultParagraphFont"/>
    <w:uiPriority w:val="22"/>
    <w:qFormat/>
    <w:rsid w:val="00DA2815"/>
    <w:rPr>
      <w:b/>
      <w:bCs/>
    </w:rPr>
  </w:style>
  <w:style w:type="character" w:customStyle="1" w:styleId="relative">
    <w:name w:val="relative"/>
    <w:basedOn w:val="DefaultParagraphFont"/>
    <w:rsid w:val="00DA2815"/>
  </w:style>
  <w:style w:type="paragraph" w:customStyle="1" w:styleId="not-prose">
    <w:name w:val="not-prose"/>
    <w:basedOn w:val="Normal"/>
    <w:rsid w:val="00DA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Zelina Francis</dc:creator>
  <cp:keywords/>
  <dc:description/>
  <cp:lastModifiedBy>Zelina Francis</cp:lastModifiedBy>
  <cp:revision>1</cp:revision>
  <dcterms:created xsi:type="dcterms:W3CDTF">2025-11-05T08:35:00Z</dcterms:created>
  <dcterms:modified xsi:type="dcterms:W3CDTF">2025-11-05T10:43:00Z</dcterms:modified>
</cp:coreProperties>
</file>